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475" w:type="dxa"/>
            <w:vAlign w:val="center"/>
            <w:hideMark/>
          </w:tcPr>
          <w:p w:rsidR="00DF6EA4" w:rsidRDefault="00DF6EA4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</w:pPr>
          </w:p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1.Identificação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  <w:lang w:eastAsia="pt-BR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  <w:lang w:eastAsia="pt-BR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043268" w:rsidRDefault="000D373B" w:rsidP="00F128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eastAsia="pt-BR"/>
              </w:rPr>
            </w:pPr>
            <w:r>
              <w:rPr>
                <w:rFonts w:eastAsia="Times New Roman" w:cstheme="minorHAnsi"/>
                <w:b/>
                <w:sz w:val="40"/>
                <w:szCs w:val="40"/>
                <w:lang w:eastAsia="pt-BR"/>
              </w:rPr>
              <w:t>METIL ETIL CETONA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A64489" w:rsidRDefault="00D52265" w:rsidP="0090079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produto: </w:t>
            </w:r>
            <w:r w:rsidR="000D373B">
              <w:t>METIL ETIL CETONA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489">
              <w:rPr>
                <w:rFonts w:ascii="Arial" w:hAnsi="Arial" w:cs="Arial"/>
                <w:sz w:val="20"/>
                <w:szCs w:val="20"/>
              </w:rPr>
              <w:t xml:space="preserve">ódigo interno do produto: </w:t>
            </w:r>
            <w:r w:rsidR="000D373B">
              <w:rPr>
                <w:rFonts w:ascii="Arial" w:hAnsi="Arial" w:cs="Arial"/>
                <w:sz w:val="20"/>
                <w:szCs w:val="20"/>
              </w:rPr>
              <w:t>AT0772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proofErr w:type="spellStart"/>
            <w:r w:rsidR="0090079A">
              <w:rPr>
                <w:rFonts w:ascii="Arial" w:hAnsi="Arial" w:cs="Arial"/>
                <w:sz w:val="20"/>
                <w:szCs w:val="20"/>
              </w:rPr>
              <w:t>Atriom</w:t>
            </w:r>
            <w:proofErr w:type="spellEnd"/>
            <w:r w:rsidR="0090079A">
              <w:rPr>
                <w:rFonts w:ascii="Arial" w:hAnsi="Arial" w:cs="Arial"/>
                <w:sz w:val="20"/>
                <w:szCs w:val="20"/>
              </w:rPr>
              <w:t xml:space="preserve">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90079A">
              <w:rPr>
                <w:rFonts w:ascii="Arial" w:hAnsi="Arial" w:cs="Arial"/>
                <w:sz w:val="20"/>
                <w:szCs w:val="20"/>
              </w:rPr>
              <w:t xml:space="preserve">Rua Rosas de </w:t>
            </w:r>
            <w:proofErr w:type="gramStart"/>
            <w:r w:rsidR="0090079A">
              <w:rPr>
                <w:rFonts w:ascii="Arial" w:hAnsi="Arial" w:cs="Arial"/>
                <w:sz w:val="20"/>
                <w:szCs w:val="20"/>
              </w:rPr>
              <w:t>Maio</w:t>
            </w:r>
            <w:proofErr w:type="gramEnd"/>
            <w:r w:rsidR="0090079A">
              <w:rPr>
                <w:rFonts w:ascii="Arial" w:hAnsi="Arial" w:cs="Arial"/>
                <w:sz w:val="20"/>
                <w:szCs w:val="20"/>
              </w:rPr>
              <w:t>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para emergência: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XX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B3C" w:rsidRDefault="00141B3C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0D373B" w:rsidRPr="00F12891" w:rsidTr="00801185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D373B" w:rsidRPr="00F12891" w:rsidTr="00801185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367503">
                    <w:rPr>
                      <w:rFonts w:ascii="Arial" w:hAnsi="Arial" w:cs="Arial"/>
                      <w:b/>
                      <w:bCs/>
                    </w:rPr>
                    <w:t xml:space="preserve">2.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Identificação dos perigos </w:t>
                  </w:r>
                </w:p>
              </w:tc>
            </w:tr>
            <w:tr w:rsidR="000D373B" w:rsidRPr="00F12891" w:rsidTr="00801185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D373B" w:rsidRPr="00F12891" w:rsidTr="008011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2.1 - Classificação da substância (de acordo com a ABNT NBR 14725-4): Inflamável, Categoria 2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2.2 - Elementos de rotulagem (de acordo com a ABNT NBR 14725-4):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Pictogramas de risco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04850" cy="698976"/>
                        <wp:effectExtent l="19050" t="0" r="0" b="0"/>
                        <wp:docPr id="2" name="Imagem 1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7605" cy="7017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Palavras de advertência: Perigo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>Frase de perigo: H225 – Líquido e vapores altamente inflamáveis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 Frases de precaução: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P210 – Mantenha afastado do calor / faíscas / superfícies quentes. Não fume.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P233 – Mantenha o recipiente hermeticamente fechado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P240 – Aterre o vaso contentor e o receptor do produto durante transferências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P241 – Utilize equipamento de ventilação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P242 – Utilize apenas ferramentas antifaiscantes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>P243 – Evite o acúmulo de cargas eletrostáticas.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P280 – Use equipamentos de proteção individual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P303+P361+P353 – Em caso de contato com a pele: retire imediatamente toda a roupa contaminada. Enxágue a pele com a água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P370+P378 – Em caso de incêndio: Para a extinção utilize: CO2, espuma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P403 + P235 – Armazene em local bem ventilado. Mantenha em local fresco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P501 – Descarte o conteúdo / recipiente em instalação aprovada de destruição de resíduos </w:t>
                  </w:r>
                </w:p>
                <w:p w:rsidR="000D373B" w:rsidRPr="00563661" w:rsidRDefault="000D373B" w:rsidP="00801185">
                  <w:pPr>
                    <w:spacing w:after="0" w:line="240" w:lineRule="auto"/>
                  </w:pPr>
                  <w:r>
                    <w:t>2.3 - Outros Perigos que não resultam em uma classificação: Não disponível</w:t>
                  </w:r>
                  <w:r w:rsidR="00D04B82">
                    <w:t>.</w:t>
                  </w: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0D373B" w:rsidRPr="00F12891" w:rsidTr="00801185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</w:t>
            </w:r>
            <w:r w:rsidRPr="00367503">
              <w:rPr>
                <w:rFonts w:ascii="Arial" w:hAnsi="Arial" w:cs="Arial"/>
                <w:b/>
                <w:bCs/>
              </w:rPr>
              <w:t xml:space="preserve"> Composição e Informações sobre os Ingredientes</w:t>
            </w:r>
          </w:p>
        </w:tc>
      </w:tr>
      <w:tr w:rsidR="000D373B" w:rsidRPr="00F12891" w:rsidTr="00801185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0D373B" w:rsidRDefault="000D373B" w:rsidP="00801185">
            <w:pPr>
              <w:spacing w:after="0" w:line="240" w:lineRule="auto"/>
            </w:pPr>
            <w:r>
              <w:t xml:space="preserve">3.1 - Substância: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Nome químico ou comum: Metil Etil Cetona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Sinônimo: 2-butanona, Etil-metil-cetona, MEK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Número de registro CAS: 78-93-3 </w:t>
            </w:r>
          </w:p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Impurezas que contribuam para o perigo: Não disponível</w:t>
            </w: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0D373B" w:rsidRPr="00F12891" w:rsidTr="00801185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4. Medidas de Primeiros Socorros</w:t>
            </w:r>
          </w:p>
        </w:tc>
      </w:tr>
      <w:tr w:rsidR="000D373B" w:rsidRPr="00F12891" w:rsidTr="00801185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0D373B" w:rsidRDefault="000D373B" w:rsidP="0080118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4.1 - Medidas de primeiros-socorros: </w:t>
            </w:r>
          </w:p>
          <w:p w:rsidR="000D373B" w:rsidRDefault="000D373B" w:rsidP="0080118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Inalação: Remover para local ventilado. </w:t>
            </w:r>
          </w:p>
          <w:p w:rsidR="000D373B" w:rsidRDefault="000D373B" w:rsidP="0080118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a pele: Lavar com bastante água. Retirar as roupas contaminadas </w:t>
            </w:r>
          </w:p>
          <w:p w:rsidR="000D373B" w:rsidRDefault="000D373B" w:rsidP="0080118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os olhos: Lavar com bastante água, por 15 min. </w:t>
            </w:r>
          </w:p>
          <w:p w:rsidR="000D373B" w:rsidRDefault="000D373B" w:rsidP="0080118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Ingestão: Beber bastante água. Em caso de mal estar, consultar um médico </w:t>
            </w:r>
          </w:p>
          <w:p w:rsidR="000D373B" w:rsidRDefault="000D373B" w:rsidP="00801185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4.2 - Sintomas e efeitos mais importantes: Pode causar irritação e queimadura nos olhos e na pele </w:t>
            </w:r>
          </w:p>
          <w:p w:rsidR="000D373B" w:rsidRPr="00CF17B2" w:rsidRDefault="000D373B" w:rsidP="008011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t>4.3 - Notas para o médico: Tratamento sintomático. Não há antídoto específico. Direcionar o tratamento de acordo com os sintomas e condições clínicas do paciente</w:t>
            </w:r>
          </w:p>
          <w:p w:rsidR="000D373B" w:rsidRPr="00CF17B2" w:rsidRDefault="000D373B" w:rsidP="008011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0D373B" w:rsidRPr="00F12891" w:rsidTr="00801185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D373B" w:rsidRPr="00F12891" w:rsidTr="00801185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0D373B" w:rsidRPr="00F12891" w:rsidTr="00801185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0D373B" w:rsidRPr="00F12891" w:rsidTr="00801185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5.1 - Meios de extinção: espuma, pó seco, CO2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>5.2 - Perigos específicos da substância: Não disponível</w:t>
                  </w:r>
                </w:p>
                <w:p w:rsidR="000D373B" w:rsidRPr="00F12891" w:rsidRDefault="000D373B" w:rsidP="0080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5.3 - Medidas de proteção da equipe de combate a incêndio: Utilizar equipamento de proteção individual e equipamento de proteção respiratória autônoma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6- Medidas de controle para derramamento ou vazamento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0D373B" w:rsidRPr="00F12891" w:rsidTr="00801185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6.1 - Precauções pessoais, equipamento de proteção e procedimentos de emergência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6.1.1 - Para o pessoal que não faz parte dos serviços de emergência: Evitar o contato com o produto. Não inalar os pós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6.1.2 - Para o pessoal do serviço de emergência: Utilizar equipamento de proteção individual e equipamento de proteção respiratória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6.2 - Precaução ao meio ambiente: Não enviar o produto para redes de águas residuais </w:t>
                  </w:r>
                </w:p>
                <w:p w:rsidR="000D373B" w:rsidRPr="00F12891" w:rsidRDefault="000D373B" w:rsidP="0080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6.3 - Métodos e materiais para a contenção e limpeza: Absorver em estado seco. Recolher o resíduo para eliminação posterior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0D373B" w:rsidRPr="00F12891" w:rsidTr="00801185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7.1 - Precauções para o manuseio seguro: Manipular o produto respeitando as regras gerais de segurança 7.2 - Condições de armazenamento seguro, incluindo qualquer incompatibilidade: Manter as embalagens bem fechadas, local seco e limpo. Temperatura ambiente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8- Controle de exposição e proteção individual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0D373B" w:rsidRPr="00F12891" w:rsidTr="00801185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8.1 - Parâmetros de controle: Limites de Exposição TLV - ACGIH: TWA: 200 </w:t>
                  </w:r>
                  <w:proofErr w:type="spellStart"/>
                  <w:r>
                    <w:t>ppm</w:t>
                  </w:r>
                  <w:proofErr w:type="spellEnd"/>
                  <w:r>
                    <w:t xml:space="preserve"> / STEL: 300 </w:t>
                  </w:r>
                  <w:proofErr w:type="spellStart"/>
                  <w:r>
                    <w:t>ppm</w:t>
                  </w:r>
                  <w:proofErr w:type="spellEnd"/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8.2 - Medidas de controle de engenharia: Manipular o produto em local com boa ventilação natural ou mecânica, de forma a manter a concentração de vapores/poeiras inferior ao limite de tolerância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8.3 - Medidas de proteção pessoal: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dos olhos/face: Óculos de segurança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da pele: Luvas de </w:t>
                  </w:r>
                  <w:proofErr w:type="spellStart"/>
                  <w:r>
                    <w:t>nitrilo</w:t>
                  </w:r>
                  <w:proofErr w:type="spellEnd"/>
                  <w:r>
                    <w:t xml:space="preserve">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Proteção respiratória: Máscara contra pós</w:t>
                  </w:r>
                </w:p>
                <w:p w:rsidR="000D373B" w:rsidRPr="00CF17B2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- Perigos térmicos: Não disponível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9- Propriedades físico-químicas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9746"/>
              <w:gridCol w:w="10"/>
            </w:tblGrid>
            <w:tr w:rsidR="000D373B" w:rsidRPr="00F12891" w:rsidTr="00801185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Aspecto: Líquido límpido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Odor: próprio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</w:t>
                  </w:r>
                  <w:proofErr w:type="gramStart"/>
                  <w:r>
                    <w:t>pH</w:t>
                  </w:r>
                  <w:proofErr w:type="gramEnd"/>
                  <w:r>
                    <w:t xml:space="preserve">: Não aplicável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Ponto de fusão: - 86ºC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lastRenderedPageBreak/>
                    <w:t xml:space="preserve">- Ponto de ebulição: 79,6ºC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Ponto de fulgor: 3,9 (vaso aberto)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Taxa de evaporação: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Inflamabilidade: - 4ºC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Limite inferior/superior de explosividade: 1,8 – 12 % v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Pressão de vapor: 9,6 kPa a 20 ºC.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Densidade de vapor: 2,41(ar =1)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Densidade: 0,805 - Solubilidade: em água: 292 g/l / em etanol: solúvel / em éter: solúvel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>- Coeficiente de partição – n-</w:t>
                  </w:r>
                  <w:proofErr w:type="spellStart"/>
                  <w:r>
                    <w:t>octanol</w:t>
                  </w:r>
                  <w:proofErr w:type="spellEnd"/>
                  <w:r>
                    <w:t xml:space="preserve">/água: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Temperatura de </w:t>
                  </w:r>
                  <w:proofErr w:type="spellStart"/>
                  <w:r>
                    <w:t>auto-ignição</w:t>
                  </w:r>
                  <w:proofErr w:type="spellEnd"/>
                  <w:r>
                    <w:t xml:space="preserve">: 505ºC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Temperatura de decomposição: Não disponível </w:t>
                  </w:r>
                </w:p>
                <w:p w:rsidR="000D373B" w:rsidRPr="00F12891" w:rsidRDefault="000D373B" w:rsidP="0080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 xml:space="preserve">- Viscosidade: Não disponível 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lastRenderedPageBreak/>
                    <w:t>10- Estabilidade e reatividade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0D373B" w:rsidRPr="00F12891" w:rsidTr="00801185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10.1 - Estabilidade química: Estável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10.2 - Reatividade: Não disponível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10.3 - Possibilidade de reações perigosas: Não disponível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10.4 - Condições a serem evitadas: Fontes diretas de calor </w:t>
                  </w:r>
                </w:p>
                <w:p w:rsidR="000D373B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10.5 - Materiais incompatíveis: Oxidantes fortes, amônia, ácidos e bases fortes </w:t>
                  </w:r>
                </w:p>
                <w:p w:rsidR="000D373B" w:rsidRPr="00414C2D" w:rsidRDefault="000D373B" w:rsidP="008011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10.6 - Produtos perigosos da decomposição: Combustão incompleta emitirá: vapor d’água, CO2, monóxido de carbono (CO), vapores do produto, peróxidos, particulados e fumaça tornando o ambiente asfixiante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0D373B" w:rsidRPr="00414C2D" w:rsidRDefault="000D373B" w:rsidP="00801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11- Informações toxicológicas</w:t>
                  </w:r>
                </w:p>
              </w:tc>
            </w:tr>
            <w:tr w:rsidR="000D373B" w:rsidRPr="00F12891" w:rsidTr="008011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D373B" w:rsidRPr="00F12891" w:rsidTr="008011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Toxicidade aguda: DL50 (oral, rato): 2600 mg/kg / LD50 (cutânea, coelho): &gt; 8000 mg/kg / LC50 </w:t>
                  </w:r>
                  <w:proofErr w:type="gramStart"/>
                  <w:r>
                    <w:t>( inalação</w:t>
                  </w:r>
                  <w:proofErr w:type="gramEnd"/>
                  <w:r>
                    <w:t xml:space="preserve"> rato): 40 g/m3 / 2h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Corrosão / irritação da pele: Irritação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Lesões oculares graves / irritação ocular: Irritação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Sensibilização respiratória ou à pele: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</w:t>
                  </w:r>
                  <w:proofErr w:type="spellStart"/>
                  <w:r>
                    <w:t>Mutagenicidade</w:t>
                  </w:r>
                  <w:proofErr w:type="spellEnd"/>
                  <w:r>
                    <w:t xml:space="preserve"> em células germinativas: Não disponível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</w:t>
                  </w:r>
                  <w:proofErr w:type="spellStart"/>
                  <w:r>
                    <w:t>Mutagenicidade</w:t>
                  </w:r>
                  <w:proofErr w:type="spellEnd"/>
                  <w:r>
                    <w:t xml:space="preserve"> em células </w:t>
                  </w:r>
                  <w:proofErr w:type="spellStart"/>
                  <w:r>
                    <w:t>germinativas:Não</w:t>
                  </w:r>
                  <w:proofErr w:type="spellEnd"/>
                  <w:r>
                    <w:t xml:space="preserve">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Carcinogenicidade: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 Toxicidade à reprodução: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-Toxicidade para órgãos - alvo específico – exposição única: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-Toxicidade para órgãos - alvo específico – exposição repetida: Não disponível 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>- Perigo por aspiração: Não disponível</w:t>
                  </w:r>
                </w:p>
                <w:p w:rsidR="002325AE" w:rsidRDefault="002325AE" w:rsidP="00801185">
                  <w:pPr>
                    <w:spacing w:after="0" w:line="240" w:lineRule="auto"/>
                  </w:pPr>
                </w:p>
                <w:p w:rsidR="002325AE" w:rsidRPr="008844B1" w:rsidRDefault="002325AE" w:rsidP="00801185">
                  <w:pPr>
                    <w:spacing w:after="0" w:line="240" w:lineRule="auto"/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0D373B" w:rsidRPr="00F12891" w:rsidTr="00801185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0D373B" w:rsidRPr="00414C2D" w:rsidRDefault="000D373B" w:rsidP="0080118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                           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    </w:t>
            </w: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</w:t>
            </w:r>
            <w:r w:rsidRPr="00414C2D">
              <w:rPr>
                <w:rFonts w:ascii="Arial" w:hAnsi="Arial" w:cs="Arial"/>
                <w:b/>
                <w:bCs/>
              </w:rPr>
              <w:t>12- Informações ecológicas</w:t>
            </w:r>
          </w:p>
        </w:tc>
      </w:tr>
      <w:tr w:rsidR="000D373B" w:rsidRPr="00F12891" w:rsidTr="00801185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0D373B" w:rsidRDefault="000D373B" w:rsidP="00801185">
            <w:pPr>
              <w:spacing w:after="0" w:line="240" w:lineRule="auto"/>
            </w:pPr>
            <w:r>
              <w:t xml:space="preserve">12.1 - </w:t>
            </w:r>
            <w:proofErr w:type="spellStart"/>
            <w:r>
              <w:t>Ecotoxicidade</w:t>
            </w:r>
            <w:proofErr w:type="spellEnd"/>
            <w:r>
              <w:t xml:space="preserve">: Efeitos biológicos: Efeito tóxico nos peixes e no plâncton. Toxicidade nos peixes: </w:t>
            </w:r>
            <w:proofErr w:type="spellStart"/>
            <w:proofErr w:type="gramStart"/>
            <w:r>
              <w:lastRenderedPageBreak/>
              <w:t>L.promelas</w:t>
            </w:r>
            <w:proofErr w:type="spellEnd"/>
            <w:proofErr w:type="gramEnd"/>
            <w:r>
              <w:t xml:space="preserve"> LC50: 3220 mg / l / 96h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12.2 - Persistência e </w:t>
            </w:r>
            <w:proofErr w:type="spellStart"/>
            <w:r>
              <w:t>degradabilidade</w:t>
            </w:r>
            <w:proofErr w:type="spellEnd"/>
            <w:r>
              <w:t>: Facilmente biodegradável</w:t>
            </w:r>
          </w:p>
          <w:p w:rsidR="000D373B" w:rsidRDefault="000D373B" w:rsidP="00801185">
            <w:pPr>
              <w:spacing w:after="0" w:line="240" w:lineRule="auto"/>
            </w:pPr>
            <w:r>
              <w:t>12.3 - Potencial bioacumulativo: Não se prevê bioacumulativo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12.4 - Mobilidade no solo: Não disponível </w:t>
            </w:r>
          </w:p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12.5 - Outros efeitos adversos: Não disponível</w:t>
            </w: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0D373B" w:rsidRPr="00F12891" w:rsidTr="00801185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0D373B" w:rsidRPr="00414C2D" w:rsidRDefault="000D373B" w:rsidP="008011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                                 </w:t>
            </w:r>
            <w:r w:rsidRPr="00414C2D">
              <w:rPr>
                <w:rFonts w:ascii="Arial" w:hAnsi="Arial" w:cs="Arial"/>
                <w:b/>
                <w:bCs/>
              </w:rPr>
              <w:t>13- Considerações sobre tratamento e disposição</w:t>
            </w:r>
          </w:p>
        </w:tc>
      </w:tr>
      <w:tr w:rsidR="000D373B" w:rsidRPr="00F12891" w:rsidTr="00801185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0D373B" w:rsidRDefault="000D373B" w:rsidP="00801185">
            <w:pPr>
              <w:spacing w:after="0" w:line="240" w:lineRule="auto"/>
            </w:pPr>
            <w:r>
              <w:t xml:space="preserve">13.1 - Métodos recomendados para destinação final: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Produto: Seguir as normas locais do controle do meio ambiente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Restos de produtos: Recolher e armazenar adequadamente o produto derramado para posterior reutilização ou disposição final </w:t>
            </w:r>
          </w:p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Embalagem usada: Devem ser eliminadas de acordo com as normas locais do controle do meio ambiente</w:t>
            </w: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0D373B" w:rsidRPr="00F12891" w:rsidTr="00801185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0D373B" w:rsidRPr="0036447E" w:rsidRDefault="000D373B" w:rsidP="008011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</w:t>
            </w:r>
            <w:r w:rsidRPr="0036447E">
              <w:rPr>
                <w:rFonts w:ascii="Arial" w:hAnsi="Arial" w:cs="Arial"/>
                <w:b/>
                <w:bCs/>
              </w:rPr>
              <w:t>14- Informações sobre transporte</w:t>
            </w:r>
          </w:p>
        </w:tc>
      </w:tr>
      <w:tr w:rsidR="000D373B" w:rsidRPr="00F12891" w:rsidTr="00801185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0D373B" w:rsidRDefault="000D373B" w:rsidP="00801185">
            <w:pPr>
              <w:spacing w:after="0" w:line="240" w:lineRule="auto"/>
            </w:pPr>
            <w:r>
              <w:t xml:space="preserve">14.1 - Regulamentações nacionais e internacionais: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Terrestre: Agência Nacional de Transporte Terrestre (ANTT)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Marítimo: Código IMDG: 1193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Aéreo: Código IATA: 1193 </w:t>
            </w:r>
          </w:p>
          <w:p w:rsidR="000D373B" w:rsidRDefault="000D373B" w:rsidP="00801185">
            <w:pPr>
              <w:spacing w:after="0" w:line="240" w:lineRule="auto"/>
            </w:pPr>
          </w:p>
          <w:p w:rsidR="000D373B" w:rsidRDefault="000D373B" w:rsidP="00801185">
            <w:pPr>
              <w:spacing w:after="0" w:line="240" w:lineRule="auto"/>
            </w:pPr>
            <w:r>
              <w:t xml:space="preserve">14.2 - Para produto classificado como perigoso para o transporte: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Número ONU: 1193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Nome apropriado para embarque: ETIL METIL CETONA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Classe de risco: 3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Número de risco: 33 </w:t>
            </w:r>
          </w:p>
          <w:p w:rsidR="000D373B" w:rsidRDefault="000D373B" w:rsidP="00801185">
            <w:pPr>
              <w:spacing w:after="0" w:line="240" w:lineRule="auto"/>
            </w:pPr>
            <w:r>
              <w:t xml:space="preserve">- Grupo de embalagem: II </w:t>
            </w:r>
          </w:p>
          <w:p w:rsidR="000D373B" w:rsidRPr="00990240" w:rsidRDefault="000D373B" w:rsidP="00801185">
            <w:pPr>
              <w:spacing w:after="0" w:line="240" w:lineRule="auto"/>
            </w:pPr>
            <w:r>
              <w:t>- Perigo ao meio ambiente: Não disponível</w:t>
            </w: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0D373B" w:rsidRPr="00F12891" w:rsidTr="00801185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D373B" w:rsidRPr="00F12891" w:rsidTr="00801185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0D373B" w:rsidRPr="0036447E" w:rsidRDefault="000D373B" w:rsidP="008011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t-BR"/>
                    </w:rPr>
                    <w:t xml:space="preserve">                                                            </w:t>
                  </w:r>
                  <w:r w:rsidRPr="0036447E">
                    <w:rPr>
                      <w:rFonts w:ascii="Arial" w:hAnsi="Arial" w:cs="Arial"/>
                      <w:b/>
                      <w:bCs/>
                    </w:rPr>
                    <w:t>15- Regulamentações</w:t>
                  </w:r>
                </w:p>
              </w:tc>
            </w:tr>
            <w:tr w:rsidR="000D373B" w:rsidRPr="00F12891" w:rsidTr="00801185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0D373B" w:rsidRPr="00F12891" w:rsidRDefault="000D373B" w:rsidP="00801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D373B" w:rsidRPr="00F12891" w:rsidTr="008011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0D373B" w:rsidRDefault="000D373B" w:rsidP="00801185">
                  <w:pPr>
                    <w:spacing w:after="0" w:line="240" w:lineRule="auto"/>
                  </w:pPr>
                  <w:r>
                    <w:t>15.1 - Regulamentações específicas de segurança, saúde e meio ambiente para o produto químico:</w:t>
                  </w:r>
                </w:p>
                <w:p w:rsidR="000D373B" w:rsidRDefault="000D373B" w:rsidP="00801185">
                  <w:pPr>
                    <w:spacing w:after="0" w:line="240" w:lineRule="auto"/>
                  </w:pPr>
                  <w:r>
                    <w:t xml:space="preserve"> - Produto controlado pela Polícia Federal e pela Secretaria Segurança Pública</w:t>
                  </w:r>
                </w:p>
                <w:p w:rsidR="000D373B" w:rsidRPr="00F12891" w:rsidRDefault="000D373B" w:rsidP="00801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 xml:space="preserve"> - Produto Inflamável</w:t>
                  </w:r>
                </w:p>
              </w:tc>
            </w:tr>
          </w:tbl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0D373B" w:rsidRPr="00F12891" w:rsidTr="00801185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0D373B" w:rsidRPr="0036447E" w:rsidRDefault="000D373B" w:rsidP="008011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6447E">
              <w:rPr>
                <w:rFonts w:ascii="Arial" w:hAnsi="Arial" w:cs="Arial"/>
                <w:b/>
                <w:bCs/>
              </w:rPr>
              <w:t>16- Outras informações</w:t>
            </w:r>
          </w:p>
        </w:tc>
      </w:tr>
      <w:tr w:rsidR="000D373B" w:rsidRPr="00F12891" w:rsidTr="00801185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0D373B" w:rsidRPr="00F12891" w:rsidRDefault="000D373B" w:rsidP="008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0D373B" w:rsidRPr="00F12891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0D373B" w:rsidRPr="00F12891" w:rsidTr="008011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0D373B" w:rsidRDefault="000D373B" w:rsidP="00801185">
            <w:pPr>
              <w:spacing w:after="0" w:line="240" w:lineRule="auto"/>
            </w:pPr>
            <w:r>
              <w:t>Merck Index, 12ª ed., Nº 8784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Referências: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Os dados desta ficha foram baseados nas fichas de informações de produtos de nossos fornecedores.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ASSOCIAÇÃO BRASILEIRA DE NORMAS TÉCNICAS. NBR 14725-4: 2014 Produtos químicos – Informações sobre segurança,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saúde e meio ambiente. Parte 4: Ficha de informações de segurança de produtos químicos (FISPQ) – Rio de Janeiro, 2014. 35 p.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Centros de Informações Toxicológicas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Belo Horizonte - Serviço de Toxicologia de Minas Gerais - Hospital João XXIII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Fone: (31) 3239.9224/3239.9223 (Hospital) (31) 3239-9308 / 3224-4000 (Tel. CIT) Fax</w:t>
            </w:r>
            <w:proofErr w:type="gramStart"/>
            <w:r>
              <w:rPr>
                <w:rFonts w:eastAsia="Times New Roman" w:cstheme="minorHAnsi"/>
              </w:rPr>
              <w:t>: :</w:t>
            </w:r>
            <w:proofErr w:type="gramEnd"/>
            <w:r>
              <w:rPr>
                <w:rFonts w:eastAsia="Times New Roman" w:cstheme="minorHAnsi"/>
              </w:rPr>
              <w:t xml:space="preserve"> (31) 3239.9260(CIT)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Porto Alegre - Centro de Informações Toxicológicas do Rio Grande do Sul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Fone: (51) 3217.1751 (Tel. CIT) Fax: (51) 3217.9067 Atendimento: 0800 78 02 00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Recife - Centro de Assistência Toxicológica de Pernambuco - Hospital da Restauração - 1º andar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Fone: (81) 3421.5444 R. 151 (Tel. Hospital) Fax: (81) 3421.5927 / 3423-8263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Rio de Janeiro - Centro de Controle de Intoxicações do Rio de Janeiro -Hospital Universitário Clementino Fraga Filho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Fone: (21) 2573.3244/2290-3344 (Tel. CIT) - Fax: (21) 2573-7079 (CIT) 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Salvador - Centro de Informações </w:t>
            </w:r>
            <w:proofErr w:type="spellStart"/>
            <w:r>
              <w:rPr>
                <w:rFonts w:eastAsia="Times New Roman" w:cstheme="minorHAnsi"/>
              </w:rPr>
              <w:t>Anti-Veneno</w:t>
            </w:r>
            <w:proofErr w:type="spellEnd"/>
            <w:r>
              <w:rPr>
                <w:rFonts w:eastAsia="Times New Roman" w:cstheme="minorHAnsi"/>
              </w:rPr>
              <w:t xml:space="preserve"> da Bahia - CIAVE - Hospital Geral Roberto Santos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Fone: (71) 387.3414/387-4343 e 0800 284 43 43 Fax: (71) 387.3414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São Paulo - Centro de Controle de Intoxicações de São Paulo - Hospital Municipal Dr. Artur Ribeiro de Saboya</w:t>
            </w:r>
          </w:p>
          <w:p w:rsidR="002325AE" w:rsidRDefault="002325AE" w:rsidP="002325A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Fone/Fax: (11) 5012/2399 (Tel. CIT) (11) 5012-5311 (atendimento médico) Atendimento: 0800 771 37 33</w:t>
            </w:r>
          </w:p>
          <w:p w:rsidR="002325AE" w:rsidRPr="00F12891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</w:rPr>
              <w:t>Para mais informações visite o site: http://www.anvisa.gov.br/toxicologia/centros.htm</w:t>
            </w:r>
          </w:p>
        </w:tc>
      </w:tr>
    </w:tbl>
    <w:p w:rsidR="00141B3C" w:rsidRDefault="00141B3C" w:rsidP="00141B3C">
      <w:pPr>
        <w:jc w:val="both"/>
      </w:pPr>
    </w:p>
    <w:p w:rsidR="003B28C7" w:rsidRDefault="003B28C7" w:rsidP="00414C2D">
      <w:pPr>
        <w:jc w:val="both"/>
      </w:pPr>
    </w:p>
    <w:sectPr w:rsidR="003B28C7" w:rsidSect="00497CCB">
      <w:headerReference w:type="default" r:id="rId9"/>
      <w:footerReference w:type="default" r:id="rId10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8B" w:rsidRDefault="008F638B" w:rsidP="00DF6EA4">
      <w:pPr>
        <w:spacing w:after="0" w:line="240" w:lineRule="auto"/>
      </w:pPr>
      <w:r>
        <w:separator/>
      </w:r>
    </w:p>
  </w:endnote>
  <w:endnote w:type="continuationSeparator" w:id="0">
    <w:p w:rsidR="008F638B" w:rsidRDefault="008F638B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D79" w:rsidRDefault="000775B5" w:rsidP="000775B5">
    <w:pPr>
      <w:pStyle w:val="Rodap"/>
      <w:tabs>
        <w:tab w:val="clear" w:pos="4252"/>
        <w:tab w:val="clear" w:pos="8504"/>
        <w:tab w:val="left" w:pos="1605"/>
      </w:tabs>
      <w:ind w:left="-993" w:right="-1561" w:hanging="141"/>
    </w:pPr>
    <w:r>
      <w:t xml:space="preserve">    </w:t>
    </w:r>
    <w:r w:rsidR="00EA572F">
      <w:t>Rua</w:t>
    </w:r>
    <w:r w:rsidR="00300D79">
      <w:t>: Rosas de Maio Nº 368 – Altos de vila prudente – São Paulo – SP -</w:t>
    </w:r>
    <w:proofErr w:type="gramStart"/>
    <w:r w:rsidR="00300D79">
      <w:t>CEP :</w:t>
    </w:r>
    <w:proofErr w:type="gramEnd"/>
    <w:r w:rsidR="00300D79">
      <w:t xml:space="preserve"> 03978-760 </w:t>
    </w:r>
    <w:proofErr w:type="spellStart"/>
    <w:r w:rsidR="00300D79">
      <w:t>Tel</w:t>
    </w:r>
    <w:proofErr w:type="spellEnd"/>
    <w:r w:rsidR="00300D79">
      <w:t xml:space="preserve">:(0xx11)2143-9450/2703-3810 </w:t>
    </w:r>
  </w:p>
  <w:p w:rsidR="00300D79" w:rsidRDefault="00300D79" w:rsidP="00300D79">
    <w:pPr>
      <w:pStyle w:val="Rodap"/>
      <w:tabs>
        <w:tab w:val="clear" w:pos="4252"/>
        <w:tab w:val="clear" w:pos="8504"/>
        <w:tab w:val="left" w:pos="1605"/>
      </w:tabs>
    </w:pPr>
  </w:p>
  <w:p w:rsidR="00497CCB" w:rsidRDefault="00300D79" w:rsidP="00300D79">
    <w:pPr>
      <w:pStyle w:val="Rodap"/>
    </w:pPr>
    <w:r>
      <w:t xml:space="preserve">              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8B" w:rsidRDefault="008F638B" w:rsidP="00DF6EA4">
      <w:pPr>
        <w:spacing w:after="0" w:line="240" w:lineRule="auto"/>
      </w:pPr>
      <w:r>
        <w:separator/>
      </w:r>
    </w:p>
  </w:footnote>
  <w:footnote w:type="continuationSeparator" w:id="0">
    <w:p w:rsidR="008F638B" w:rsidRDefault="008F638B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094975"/>
      <w:docPartObj>
        <w:docPartGallery w:val="Page Numbers (Top of Page)"/>
        <w:docPartUnique/>
      </w:docPartObj>
    </w:sdtPr>
    <w:sdtEndPr/>
    <w:sdtContent>
      <w:p w:rsidR="00497CCB" w:rsidRDefault="00497CCB" w:rsidP="00300D79">
        <w:pPr>
          <w:pStyle w:val="Cabealho"/>
          <w:ind w:left="-426" w:hanging="426"/>
          <w:jc w:val="center"/>
        </w:pPr>
        <w:r w:rsidRPr="00497CCB">
          <w:rPr>
            <w:noProof/>
            <w:lang w:eastAsia="pt-BR"/>
          </w:rPr>
          <w:drawing>
            <wp:inline distT="0" distB="0" distL="0" distR="0">
              <wp:extent cx="7153275" cy="1759336"/>
              <wp:effectExtent l="19050" t="0" r="0" b="0"/>
              <wp:docPr id="3" name="Imagem 1" descr="C:\ATRIOM\LOGOTIPOS ATRIOM\Cabeçalho_ATRI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ATRIOM\LOGOTIPOS ATRIOM\Cabeçalho_ATRIO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0122" cy="175856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300D79" w:rsidRDefault="00300D79" w:rsidP="00497CCB">
        <w:pPr>
          <w:pStyle w:val="Cabealho"/>
          <w:jc w:val="center"/>
        </w:pPr>
      </w:p>
      <w:p w:rsidR="00300D79" w:rsidRDefault="00EA572F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141B3C">
          <w:rPr>
            <w:sz w:val="20"/>
            <w:szCs w:val="20"/>
          </w:rPr>
          <w:t xml:space="preserve">: </w:t>
        </w:r>
        <w:r w:rsidR="000D373B">
          <w:rPr>
            <w:sz w:val="20"/>
            <w:szCs w:val="20"/>
          </w:rPr>
          <w:t>METIL ETIL CETONA</w:t>
        </w:r>
      </w:p>
      <w:p w:rsidR="00300D79" w:rsidRDefault="007D62DA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Da</w:t>
        </w:r>
        <w:r w:rsidR="00C118EE">
          <w:rPr>
            <w:sz w:val="20"/>
            <w:szCs w:val="20"/>
          </w:rPr>
          <w:t>ta da ultima revisão: 28/02/2018</w:t>
        </w:r>
        <w:r w:rsidR="00300D79" w:rsidRPr="003510F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</w:t>
        </w:r>
        <w:r w:rsidR="00300D79">
          <w:rPr>
            <w:sz w:val="20"/>
            <w:szCs w:val="20"/>
          </w:rPr>
          <w:t xml:space="preserve">                </w:t>
        </w:r>
      </w:p>
      <w:p w:rsidR="00497CCB" w:rsidRDefault="00497CCB" w:rsidP="00300D79">
        <w:pPr>
          <w:pStyle w:val="Cabealho"/>
          <w:jc w:val="right"/>
        </w:pPr>
        <w:r>
          <w:t xml:space="preserve">Página </w:t>
        </w:r>
        <w:r w:rsidR="0080115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01156">
          <w:rPr>
            <w:b/>
            <w:sz w:val="24"/>
            <w:szCs w:val="24"/>
          </w:rPr>
          <w:fldChar w:fldCharType="separate"/>
        </w:r>
        <w:r w:rsidR="00C118EE">
          <w:rPr>
            <w:b/>
            <w:noProof/>
          </w:rPr>
          <w:t>1</w:t>
        </w:r>
        <w:r w:rsidR="00801156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80115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01156">
          <w:rPr>
            <w:b/>
            <w:sz w:val="24"/>
            <w:szCs w:val="24"/>
          </w:rPr>
          <w:fldChar w:fldCharType="separate"/>
        </w:r>
        <w:r w:rsidR="00C118EE">
          <w:rPr>
            <w:b/>
            <w:noProof/>
          </w:rPr>
          <w:t>6</w:t>
        </w:r>
        <w:r w:rsidR="00801156">
          <w:rPr>
            <w:b/>
            <w:sz w:val="24"/>
            <w:szCs w:val="24"/>
          </w:rPr>
          <w:fldChar w:fldCharType="end"/>
        </w:r>
      </w:p>
    </w:sdtContent>
  </w:sdt>
  <w:p w:rsidR="00497CCB" w:rsidRDefault="00497CCB" w:rsidP="00497CCB">
    <w:pPr>
      <w:pStyle w:val="Cabealho"/>
      <w:tabs>
        <w:tab w:val="clear" w:pos="8504"/>
      </w:tabs>
      <w:ind w:left="851" w:right="-1419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1"/>
    <w:rsid w:val="00015325"/>
    <w:rsid w:val="00026276"/>
    <w:rsid w:val="00043268"/>
    <w:rsid w:val="00071422"/>
    <w:rsid w:val="000775B5"/>
    <w:rsid w:val="000D373B"/>
    <w:rsid w:val="000E31D4"/>
    <w:rsid w:val="000E6137"/>
    <w:rsid w:val="000E63E7"/>
    <w:rsid w:val="00141B3C"/>
    <w:rsid w:val="00154078"/>
    <w:rsid w:val="00160541"/>
    <w:rsid w:val="00184C7A"/>
    <w:rsid w:val="00194FDB"/>
    <w:rsid w:val="001A6554"/>
    <w:rsid w:val="001D2730"/>
    <w:rsid w:val="0021184C"/>
    <w:rsid w:val="00217FE7"/>
    <w:rsid w:val="002325AE"/>
    <w:rsid w:val="00255E7C"/>
    <w:rsid w:val="00281B21"/>
    <w:rsid w:val="00300D79"/>
    <w:rsid w:val="00314D86"/>
    <w:rsid w:val="00331496"/>
    <w:rsid w:val="00342FB6"/>
    <w:rsid w:val="00354BF7"/>
    <w:rsid w:val="0036447E"/>
    <w:rsid w:val="003667B7"/>
    <w:rsid w:val="003930E3"/>
    <w:rsid w:val="003B28C7"/>
    <w:rsid w:val="00413005"/>
    <w:rsid w:val="00414C2D"/>
    <w:rsid w:val="00434BF9"/>
    <w:rsid w:val="004904CA"/>
    <w:rsid w:val="004941BB"/>
    <w:rsid w:val="00497CCB"/>
    <w:rsid w:val="004C3A8B"/>
    <w:rsid w:val="00530AF5"/>
    <w:rsid w:val="00545BF6"/>
    <w:rsid w:val="0054684B"/>
    <w:rsid w:val="00563661"/>
    <w:rsid w:val="00564F8B"/>
    <w:rsid w:val="005A152A"/>
    <w:rsid w:val="005A2F95"/>
    <w:rsid w:val="005A55B2"/>
    <w:rsid w:val="005C054B"/>
    <w:rsid w:val="0062390B"/>
    <w:rsid w:val="00640E1D"/>
    <w:rsid w:val="00656CEE"/>
    <w:rsid w:val="00675124"/>
    <w:rsid w:val="00694EE6"/>
    <w:rsid w:val="006A6F2B"/>
    <w:rsid w:val="006C55BE"/>
    <w:rsid w:val="00704437"/>
    <w:rsid w:val="007050EF"/>
    <w:rsid w:val="0072235B"/>
    <w:rsid w:val="00722F94"/>
    <w:rsid w:val="007834A9"/>
    <w:rsid w:val="007D62DA"/>
    <w:rsid w:val="007F407B"/>
    <w:rsid w:val="00801156"/>
    <w:rsid w:val="008266D6"/>
    <w:rsid w:val="00855E6E"/>
    <w:rsid w:val="00873429"/>
    <w:rsid w:val="008844B1"/>
    <w:rsid w:val="008C1FBC"/>
    <w:rsid w:val="008E5EEF"/>
    <w:rsid w:val="008F61F6"/>
    <w:rsid w:val="008F638B"/>
    <w:rsid w:val="0090079A"/>
    <w:rsid w:val="009117F8"/>
    <w:rsid w:val="00964F3B"/>
    <w:rsid w:val="00985570"/>
    <w:rsid w:val="009E000B"/>
    <w:rsid w:val="00A145B3"/>
    <w:rsid w:val="00A21597"/>
    <w:rsid w:val="00A64489"/>
    <w:rsid w:val="00AD297D"/>
    <w:rsid w:val="00B2697A"/>
    <w:rsid w:val="00BB5DE9"/>
    <w:rsid w:val="00BF2651"/>
    <w:rsid w:val="00C118EE"/>
    <w:rsid w:val="00C34080"/>
    <w:rsid w:val="00C40280"/>
    <w:rsid w:val="00C46083"/>
    <w:rsid w:val="00C50587"/>
    <w:rsid w:val="00C5632D"/>
    <w:rsid w:val="00C71E67"/>
    <w:rsid w:val="00C94841"/>
    <w:rsid w:val="00CE1B8B"/>
    <w:rsid w:val="00CE7D68"/>
    <w:rsid w:val="00CF17B2"/>
    <w:rsid w:val="00D04B82"/>
    <w:rsid w:val="00D50881"/>
    <w:rsid w:val="00D52265"/>
    <w:rsid w:val="00D56D62"/>
    <w:rsid w:val="00D571C1"/>
    <w:rsid w:val="00D65523"/>
    <w:rsid w:val="00D801C0"/>
    <w:rsid w:val="00DB0A87"/>
    <w:rsid w:val="00DB1059"/>
    <w:rsid w:val="00DB23A0"/>
    <w:rsid w:val="00DF6EA4"/>
    <w:rsid w:val="00E00E4D"/>
    <w:rsid w:val="00E1204B"/>
    <w:rsid w:val="00E16478"/>
    <w:rsid w:val="00E37BEA"/>
    <w:rsid w:val="00E561F4"/>
    <w:rsid w:val="00E721EC"/>
    <w:rsid w:val="00EA572F"/>
    <w:rsid w:val="00F02751"/>
    <w:rsid w:val="00F12891"/>
    <w:rsid w:val="00F16BA9"/>
    <w:rsid w:val="00F837C9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301C4-FA34-4027-9B47-DDA11310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triomquimica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@atriomquimica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piso3-spo</cp:lastModifiedBy>
  <cp:revision>2</cp:revision>
  <dcterms:created xsi:type="dcterms:W3CDTF">2021-08-19T11:37:00Z</dcterms:created>
  <dcterms:modified xsi:type="dcterms:W3CDTF">2021-08-19T11:37:00Z</dcterms:modified>
</cp:coreProperties>
</file>